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0"/>
      </w:pPr>
      <w:r>
        <w:t xml:space="preserve"/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60"/>
        <w:gridCol w:w="7500"/>
      </w:tblGrid>
      <w:tr>
        <w:tc>
          <w:tcPr>
            <w:tcW w:type="dxa" w:w="9260"/>
            <w:gridSpan w:val="2"/>
            <w:tcBorders>
              <w:top w:val="single" w:color="5C0018" w:sz="16"/>
              <w:left w:val="single" w:color="5C0018" w:sz="16"/>
              <w:bottom w:val="single" w:color="5C0018" w:sz="16"/>
              <w:right w:val="single" w:color="5C0018" w:sz="16"/>
            </w:tcBorders>
            <w:shd w:fill="5C0018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r>
              <w:rPr>
                <w:rFonts w:ascii="Arial" w:cs="Arial" w:eastAsia="Arial" w:hAnsi="Arial"/>
                <w:color w:val="C09098"/>
                <w:sz w:val="22"/>
                <w:szCs w:val="22"/>
              </w:rPr>
              <w:t xml:space="preserve">FACTORS TEMPLATE  ·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PIEMONTE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C09098"/>
                <w:sz w:val="18"/>
                <w:szCs w:val="18"/>
              </w:rPr>
              <w:t xml:space="preserve">Country / Region:  </w:t>
            </w:r>
            <w:r>
              <w:rPr>
                <w:rFonts w:ascii="Arial" w:cs="Arial" w:eastAsia="Arial" w:hAnsi="Arial"/>
                <w:b/>
                <w:bCs/>
                <w:color w:val="C8922A"/>
                <w:sz w:val="18"/>
                <w:szCs w:val="18"/>
              </w:rPr>
              <w:t xml:space="preserve">Italy  ·  Northern Italy  ·  Piemonte</w:t>
            </w:r>
            <w:r>
              <w:rPr>
                <w:rFonts w:ascii="Arial" w:cs="Arial" w:eastAsia="Arial" w:hAnsi="Arial"/>
                <w:color w:val="906878"/>
                <w:sz w:val="18"/>
                <w:szCs w:val="18"/>
              </w:rPr>
              <w:t xml:space="preserve">          Date: _______________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Climate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FFFFF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1.  North-west Italy — landlocked; moderate continental climate; sheltered by the Alps to the north and west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2.  Cold winters, warm summers — significant vintage variation; frost risk at bud break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3.  Warm, dry autumns — essential for ripening Nebbiolo, which is late-budding and late-ripening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Grape Growing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DEEF3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1.  Hail — major hazard; particularly damaging in summer; nets used increasingly; can devastate a vintage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2.  Fog (Nebbia) — autumn fog in the Langhe hills; gives Nebbiolo its name; creates humid conditions; can promote botrytis; protects grapes from frost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3.  Rain shadow — the Alps and Apennines protect Piemonte from Atlantic and Mediterranean rains; one of Italy's drier growing regions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4.  Altitude: Barolo (300–500m) vs Barbaresco (200–400m) — Barolo at higher altitude; cooler; more structured, tannic wines needing longer ageing; Barbaresco lower, warmer, earlier-ripening, more approachable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5.  River Po — the broad Po valley to the north provides a flat basin; Piemonte's hill zones rise to the south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6.  Lake Maggiore — moderating influence in northern Piemonte; important for lighter reds and aromatic whites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7.  Aspect — south and south-west facing slopes essential for Nebbiolo ripening; Barolo MGA (Menzione Geografica Aggiuntiva) system maps single vineyard exposures precisely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Winemaking &amp; Styles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FFFFF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1.  Barolo DOCG — traditional style: large Slavonian oak casks (botti grandi); long maceration; extended oak ageing; powerful, tannic, austere when young; requires decades to soften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2.  Barolo DOCG — modern style: small French oak barriques; shorter maceration; rounder tannins; more approachable earlier; more international in character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3.  Barolo aging requirements: minimum 3 years total (of which 18 months in oak); Riserva: 5 years (of which 18 months in oak)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4.  Barbaresco aging requirements: minimum 2 years total (of which 9 months in oak); Riserva: 4 years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5.  Gentle extraction — Nebbiolo's tannins are very harsh when young; careful cap management and extraction temperature control are critical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6.  Bottle ageing — both Barolo and Barbaresco designed for long bottle evolution; 10–30+ years for top wines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7.  Lees stirring — used for some white wines (Gavi, Moscato d'Asti) to add texture and complexity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Laws &amp; Classifications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DEEF3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1.  No IGT in Piemonte — all wines are DOC or DOCG; Piemonte is one of the few Italian regions without an IGT category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2.  DOCG appellations are numerous — Piemonte has more DOCGs than any other Italian region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3.  MGA (Menzione Geografica Aggiuntiva) — Barolo's single vineyard system; over 170 recognised MGAs; equivalent to Premier/Grand Cru concept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Grapes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FFFFF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1.  Nebbiolo — the noble grape; high acid, high tannin, pale colour for its power; tar and roses; exceptional ageing potential; only makes great wine in Piemonte (Langhe hills)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2.  Barbera — most planted red in Piemonte; high acidity; low tannin; juicy, food-friendly; Barbera d'Asti DOCG and Barbera d'Alba DOC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3.  Dolcetto — everyday red; 'little sweet one'; soft, low acid, bitter chocolate finish; meant for early drinking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4.  Cortese — white grape; Gavi DOCG; crisp, mineral, citrus; stainless steel fermented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5.  Moscato Bianco — aromatic white; Moscato d'Asti DOCG (lightly sparkling, low alcohol, sweet) and Asti DOCG (fully sparkling)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Appellations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DEEF3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1.  Barolo DOCG — 100% Nebbiolo; Langhe hills south of Alba; 11 communes; key MGAs: Cannubi (Barolo), Serralunga d'Alba, La Morra, Castiglione Falletto, Serralunga style (more powerful) vs La Morra style (more elegant)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2.  Barbaresco DOCG — 100% Nebbiolo; 4 communes; earlier drinking than Barolo; key MGAs: Asili, Rabajà, Santo Stefano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3.  Barbera d'Asti DOCG — Barbera; Asti province; lively, food-friendly red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4.  Barbera d'Alba DOC — Barbera; Alba area; some oak-aged versions for more complexity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5.  Dolcetto d'Alba DOC — everyday Dolcetto; fresh, approachable, meant to drink young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6.  Gavi DOCG (Cortese di Gavi) — 100% Cortese; crisp, mineral, white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7.  Moscato d'Asti DOCG — lightly sparkling (frizzante); low alcohol (5–5.5% ABV); sweet; Moscato Bianco</w:t>
            </w:r>
          </w:p>
        </w:tc>
      </w:tr>
      <w:tr>
        <w:tc>
          <w:tcPr>
            <w:tcW w:type="dxa" w:w="1760"/>
            <w:tcBorders>
              <w:top w:val="single" w:color="E8003D" w:sz="6"/>
              <w:left w:val="single" w:color="E8003D" w:sz="6"/>
              <w:bottom w:val="single" w:color="E8003D" w:sz="6"/>
              <w:right w:val="single" w:color="E8003D" w:sz="6"/>
            </w:tcBorders>
            <w:shd w:fill="F5E8ED" w:val="clear"/>
            <w:tcMar>
              <w:top w:type="dxa" w:w="130"/>
              <w:left w:type="dxa" w:w="180"/>
              <w:bottom w:type="dxa" w:w="13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Specific to Region</w:t>
            </w:r>
          </w:p>
        </w:tc>
        <w:tc>
          <w:tcPr>
            <w:tcW w:type="dxa" w:w="7500"/>
            <w:tcBorders>
              <w:top w:val="single" w:color="D4B8C0" w:sz="4"/>
              <w:left w:val="single" w:color="D4B8C0" w:sz="4"/>
              <w:bottom w:val="single" w:color="D4B8C0" w:sz="4"/>
              <w:right w:val="single" w:color="D4B8C0" w:sz="4"/>
            </w:tcBorders>
            <w:shd w:fill="FFFFFF" w:val="clear"/>
            <w:tcMar>
              <w:top w:type="dxa" w:w="110"/>
              <w:left w:type="dxa" w:w="18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Piemonte is Italy's most 'Burgundian' region — single variety wines, terroir-focused, vineyard classification (MGA), designed for ageing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The 'Barolo Wars' of the 1980s–90s: clash between traditionalists (botti grandi) and modernists (barriques) transformed Italian fine wine; today most producers use a combination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Nebbiolo is extremely site-specific — it performs at world-class level only in the Langhe hills; attempts elsewhere in Italy produce much simpler wines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1A0A0E"/>
                <w:sz w:val="20"/>
                <w:szCs w:val="20"/>
              </w:rPr>
              <w:t xml:space="preserve">No IGT exists in Piemonte — a deliberate choice to keep the focus on the appellation system; the opposite philosophy to Tuscany's Super Tuscans</w:t>
            </w:r>
          </w:p>
        </w:tc>
      </w:tr>
      <w:tr>
        <w:tc>
          <w:tcPr>
            <w:tcW w:type="dxa" w:w="9260"/>
            <w:gridSpan w:val="2"/>
            <w:tcBorders>
              <w:top w:val="single" w:color="C8922A" w:sz="6"/>
              <w:left w:val="single" w:color="C8922A" w:sz="6"/>
              <w:bottom w:val="single" w:color="C8922A" w:sz="6"/>
              <w:right w:val="single" w:color="C8922A" w:sz="6"/>
            </w:tcBorders>
            <w:shd w:fill="FBF4E0" w:val="clear"/>
            <w:tcMar>
              <w:top w:type="dxa" w:w="130"/>
              <w:left w:type="dxa" w:w="180"/>
              <w:bottom w:type="dxa" w:w="13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5C0018"/>
                <w:sz w:val="20"/>
                <w:szCs w:val="20"/>
              </w:rPr>
              <w:t xml:space="preserve">Study Notes</w:t>
            </w:r>
          </w:p>
          <w:p>
            <w:pPr>
              <w:pBdr>
                <w:bottom w:val="single" w:color="D4C0A8" w:sz="2" w:space="2"/>
              </w:pBdr>
              <w:spacing w:after="0" w:before="12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D4C0A8" w:sz="2" w:space="2"/>
              </w:pBdr>
              <w:spacing w:after="0" w:before="12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D4C0A8" w:sz="2" w:space="2"/>
              </w:pBdr>
              <w:spacing w:after="0" w:before="12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D4C0A8" w:sz="2" w:space="2"/>
              </w:pBdr>
              <w:spacing w:after="0" w:before="12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180"/>
        <w:jc w:val="center"/>
      </w:pPr>
      <w:r>
        <w:rPr>
          <w:rFonts w:ascii="Arial" w:cs="Arial" w:eastAsia="Arial" w:hAnsi="Arial"/>
          <w:color w:val="8C7880"/>
          <w:sz w:val="16"/>
          <w:szCs w:val="16"/>
        </w:rPr>
        <w:t xml:space="preserve">Use this template as a reading guide — always refer to your WSET course materials as the primary source.</w:t>
      </w:r>
    </w:p>
    <w:sectPr>
      <w:headerReference w:type="default" r:id="rId7"/>
      <w:footerReference w:type="default" r:id="rId8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003D" w:sz="6" w:space="4"/>
      </w:pBdr>
      <w:tabs>
        <w:tab w:val="center" w:pos="4630"/>
        <w:tab w:val="right" w:pos="9260"/>
      </w:tabs>
    </w:pPr>
    <w:r>
      <w:rPr>
        <w:rFonts w:ascii="Arial" w:cs="Arial" w:eastAsia="Arial" w:hAnsi="Arial"/>
        <w:color w:val="8C7880"/>
        <w:sz w:val="16"/>
        <w:szCs w:val="16"/>
      </w:rPr>
      <w:t xml:space="preserve">Independent study resource — not affiliated with WSET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E8003D"/>
        <w:sz w:val="16"/>
        <w:szCs w:val="16"/>
      </w:rPr>
      <w:t xml:space="preserve">thirstyandwise.com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8C7880"/>
        <w:sz w:val="16"/>
        <w:szCs w:val="16"/>
      </w:rPr>
      <w:t xml:space="preserve">Page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8003D" w:sz="8" w:space="4"/>
      </w:pBdr>
      <w:tabs>
        <w:tab w:val="right" w:pos="9260"/>
      </w:tabs>
    </w:pPr>
    <w:r>
      <w:drawing>
        <wp:inline distT="0" distB="0" distL="0" distR="0">
          <wp:extent cx="342900" cy="3429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E8003D"/>
        <w:sz w:val="20"/>
        <w:szCs w:val="20"/>
      </w:rPr>
      <w:t xml:space="preserve">  THIRSTY AND WISE</w:t>
    </w:r>
    <w:r>
      <w:rPr>
        <w:rFonts w:ascii="Arial" w:cs="Arial" w:eastAsia="Arial" w:hAnsi="Arial"/>
        <w:color w:val="8C7880"/>
        <w:sz w:val="18"/>
        <w:szCs w:val="18"/>
      </w:rPr>
      <w:t xml:space="preserve">  ·  Study &amp; Support Program  ·  Petar Velickovic DipWSET</w:t>
    </w:r>
    <w:r>
      <w:rPr>
        <w:rFonts w:ascii="Arial" w:cs="Arial" w:eastAsia="Arial" w:hAnsi="Arial"/>
        <w:sz w:val="18"/>
        <w:szCs w:val="18"/>
      </w:rPr>
      <w:t xml:space="preserve">	</w:t>
    </w:r>
    <w:r>
      <w:rPr>
        <w:rFonts w:ascii="Arial" w:cs="Arial" w:eastAsia="Arial" w:hAnsi="Arial"/>
        <w:b/>
        <w:bCs/>
        <w:color w:val="C8922A"/>
        <w:sz w:val="18"/>
        <w:szCs w:val="18"/>
      </w:rPr>
      <w:t xml:space="preserve">WSET Level 3 in Wines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0A0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5dfbba6c71ff1d8b170f01319a031312330d68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2026-05-27T16:10:30.828Z</dcterms:created>
  <dcterms:modified xsi:type="dcterms:W3CDTF">2026-05-27T16:10:30.828Z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